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ellrutenett"/>
        <w:tblW w:w="0" w:type="auto"/>
        <w:tblLook w:val="04A0" w:firstRow="1" w:lastRow="0" w:firstColumn="1" w:lastColumn="0" w:noHBand="0" w:noVBand="1"/>
      </w:tblPr>
      <w:tblGrid>
        <w:gridCol w:w="3020"/>
        <w:gridCol w:w="3021"/>
        <w:gridCol w:w="3021"/>
      </w:tblGrid>
      <w:tr w:rsidR="005D1189" w14:paraId="02B0996A" w14:textId="77777777" w:rsidTr="005D1189">
        <w:trPr>
          <w:trHeight w:val="566"/>
        </w:trPr>
        <w:tc>
          <w:tcPr>
            <w:tcW w:w="9062" w:type="dxa"/>
            <w:gridSpan w:val="3"/>
            <w:shd w:val="clear" w:color="auto" w:fill="D0CECE" w:themeFill="background2" w:themeFillShade="E6"/>
          </w:tcPr>
          <w:p w14:paraId="1B897094" w14:textId="08E04020" w:rsidR="005D1189" w:rsidRPr="005D1189" w:rsidRDefault="005D1189" w:rsidP="005D1189">
            <w:pPr>
              <w:jc w:val="center"/>
              <w:rPr>
                <w:b/>
                <w:bCs/>
                <w:sz w:val="40"/>
                <w:szCs w:val="40"/>
              </w:rPr>
            </w:pPr>
            <w:r w:rsidRPr="005D1189">
              <w:rPr>
                <w:b/>
                <w:bCs/>
                <w:sz w:val="40"/>
                <w:szCs w:val="40"/>
              </w:rPr>
              <w:t>Fra tema til emneord</w:t>
            </w:r>
          </w:p>
        </w:tc>
      </w:tr>
      <w:tr w:rsidR="005D1189" w14:paraId="6D005C05" w14:textId="77777777" w:rsidTr="00E66CA3">
        <w:trPr>
          <w:trHeight w:val="844"/>
        </w:trPr>
        <w:tc>
          <w:tcPr>
            <w:tcW w:w="9062" w:type="dxa"/>
            <w:gridSpan w:val="3"/>
            <w:shd w:val="clear" w:color="auto" w:fill="E7E6E6" w:themeFill="background2"/>
          </w:tcPr>
          <w:p w14:paraId="07AF5945" w14:textId="142DB5EE" w:rsidR="005D1189" w:rsidRPr="00E66CA3" w:rsidRDefault="005D1189">
            <w:pPr>
              <w:rPr>
                <w:sz w:val="28"/>
                <w:szCs w:val="28"/>
              </w:rPr>
            </w:pPr>
            <w:r w:rsidRPr="00E66CA3">
              <w:rPr>
                <w:sz w:val="28"/>
                <w:szCs w:val="28"/>
              </w:rPr>
              <w:t xml:space="preserve">Problemstilling: </w:t>
            </w:r>
          </w:p>
        </w:tc>
      </w:tr>
      <w:tr w:rsidR="005D1189" w14:paraId="22AE623B" w14:textId="77777777" w:rsidTr="005D1189">
        <w:tc>
          <w:tcPr>
            <w:tcW w:w="3020" w:type="dxa"/>
            <w:shd w:val="clear" w:color="auto" w:fill="E7E6E6" w:themeFill="background2"/>
          </w:tcPr>
          <w:p w14:paraId="78F19811" w14:textId="62D8432A" w:rsidR="005D1189" w:rsidRDefault="005D1189">
            <w:pPr>
              <w:rPr>
                <w:sz w:val="24"/>
                <w:szCs w:val="24"/>
              </w:rPr>
            </w:pPr>
            <w:r>
              <w:rPr>
                <w:sz w:val="24"/>
                <w:szCs w:val="24"/>
              </w:rPr>
              <w:t>Mulige emneord</w:t>
            </w:r>
          </w:p>
        </w:tc>
        <w:tc>
          <w:tcPr>
            <w:tcW w:w="3021" w:type="dxa"/>
            <w:shd w:val="clear" w:color="auto" w:fill="E7E6E6" w:themeFill="background2"/>
          </w:tcPr>
          <w:p w14:paraId="6763B52A" w14:textId="668271EC" w:rsidR="005D1189" w:rsidRDefault="005D1189">
            <w:pPr>
              <w:rPr>
                <w:sz w:val="24"/>
                <w:szCs w:val="24"/>
              </w:rPr>
            </w:pPr>
            <w:r>
              <w:rPr>
                <w:sz w:val="24"/>
                <w:szCs w:val="24"/>
              </w:rPr>
              <w:t>Synonymer / alternative emneord</w:t>
            </w:r>
          </w:p>
        </w:tc>
        <w:tc>
          <w:tcPr>
            <w:tcW w:w="3021" w:type="dxa"/>
            <w:shd w:val="clear" w:color="auto" w:fill="E7E6E6" w:themeFill="background2"/>
          </w:tcPr>
          <w:p w14:paraId="772A0929" w14:textId="00051C17" w:rsidR="005D1189" w:rsidRDefault="005D1189">
            <w:pPr>
              <w:rPr>
                <w:sz w:val="24"/>
                <w:szCs w:val="24"/>
              </w:rPr>
            </w:pPr>
            <w:r>
              <w:rPr>
                <w:sz w:val="24"/>
                <w:szCs w:val="24"/>
              </w:rPr>
              <w:t>Emneord på andre språk</w:t>
            </w:r>
          </w:p>
        </w:tc>
      </w:tr>
      <w:tr w:rsidR="005D1189" w:rsidRPr="00BC721C" w14:paraId="13A946C6" w14:textId="77777777" w:rsidTr="005D1189">
        <w:tc>
          <w:tcPr>
            <w:tcW w:w="3020" w:type="dxa"/>
          </w:tcPr>
          <w:p w14:paraId="52DB4A39" w14:textId="77777777" w:rsidR="005D1189" w:rsidRDefault="005D1189" w:rsidP="00BC721C">
            <w:pPr>
              <w:rPr>
                <w:sz w:val="24"/>
                <w:szCs w:val="24"/>
              </w:rPr>
            </w:pPr>
          </w:p>
          <w:p w14:paraId="16FB407C" w14:textId="3AB87E8A" w:rsidR="009E616F" w:rsidRDefault="009E616F" w:rsidP="00BC721C">
            <w:pPr>
              <w:rPr>
                <w:sz w:val="24"/>
                <w:szCs w:val="24"/>
              </w:rPr>
            </w:pPr>
          </w:p>
        </w:tc>
        <w:tc>
          <w:tcPr>
            <w:tcW w:w="3021" w:type="dxa"/>
          </w:tcPr>
          <w:p w14:paraId="3FE5A0BA" w14:textId="1165B8CB" w:rsidR="005D1189" w:rsidRDefault="005D1189">
            <w:pPr>
              <w:rPr>
                <w:sz w:val="24"/>
                <w:szCs w:val="24"/>
              </w:rPr>
            </w:pPr>
          </w:p>
        </w:tc>
        <w:tc>
          <w:tcPr>
            <w:tcW w:w="3021" w:type="dxa"/>
          </w:tcPr>
          <w:p w14:paraId="6753C494" w14:textId="47FB7113" w:rsidR="005D1189" w:rsidRPr="005D1189" w:rsidRDefault="005D1189">
            <w:pPr>
              <w:rPr>
                <w:rFonts w:ascii="Calibri" w:hAnsi="Calibri" w:cs="Calibri"/>
                <w:sz w:val="24"/>
                <w:szCs w:val="24"/>
                <w:lang w:val="en-US"/>
              </w:rPr>
            </w:pPr>
          </w:p>
        </w:tc>
      </w:tr>
      <w:tr w:rsidR="005D1189" w:rsidRPr="005D1189" w14:paraId="68F6AF38" w14:textId="77777777" w:rsidTr="005D1189">
        <w:tc>
          <w:tcPr>
            <w:tcW w:w="3020" w:type="dxa"/>
          </w:tcPr>
          <w:p w14:paraId="4C9BEBD8" w14:textId="77777777" w:rsidR="005D1189" w:rsidRDefault="005D1189" w:rsidP="00BC721C">
            <w:pPr>
              <w:rPr>
                <w:sz w:val="24"/>
                <w:szCs w:val="24"/>
              </w:rPr>
            </w:pPr>
          </w:p>
          <w:p w14:paraId="600CC7B6" w14:textId="41BB6198" w:rsidR="009E616F" w:rsidRDefault="009E616F" w:rsidP="00BC721C">
            <w:pPr>
              <w:rPr>
                <w:sz w:val="24"/>
                <w:szCs w:val="24"/>
              </w:rPr>
            </w:pPr>
          </w:p>
        </w:tc>
        <w:tc>
          <w:tcPr>
            <w:tcW w:w="3021" w:type="dxa"/>
          </w:tcPr>
          <w:p w14:paraId="65566A48" w14:textId="77777777" w:rsidR="005D1189" w:rsidRDefault="005D1189">
            <w:pPr>
              <w:rPr>
                <w:sz w:val="24"/>
                <w:szCs w:val="24"/>
              </w:rPr>
            </w:pPr>
          </w:p>
        </w:tc>
        <w:tc>
          <w:tcPr>
            <w:tcW w:w="3021" w:type="dxa"/>
          </w:tcPr>
          <w:p w14:paraId="3F382BD7" w14:textId="4EAEC1FF" w:rsidR="005D1189" w:rsidRPr="00BC721C" w:rsidRDefault="005D1189" w:rsidP="00BC721C">
            <w:pPr>
              <w:rPr>
                <w:rFonts w:ascii="Calibri" w:hAnsi="Calibri" w:cs="Calibri"/>
              </w:rPr>
            </w:pPr>
          </w:p>
        </w:tc>
      </w:tr>
      <w:tr w:rsidR="005D1189" w:rsidRPr="005D1189" w14:paraId="41B8C8C8" w14:textId="77777777" w:rsidTr="005D1189">
        <w:tc>
          <w:tcPr>
            <w:tcW w:w="3020" w:type="dxa"/>
          </w:tcPr>
          <w:p w14:paraId="49F41588" w14:textId="77777777" w:rsidR="005D1189" w:rsidRDefault="005D1189">
            <w:pPr>
              <w:rPr>
                <w:sz w:val="24"/>
                <w:szCs w:val="24"/>
                <w:lang w:val="en-US"/>
              </w:rPr>
            </w:pPr>
          </w:p>
          <w:p w14:paraId="5AACE88F" w14:textId="14B39F54" w:rsidR="009E616F" w:rsidRPr="005D1189" w:rsidRDefault="009E616F">
            <w:pPr>
              <w:rPr>
                <w:sz w:val="24"/>
                <w:szCs w:val="24"/>
                <w:lang w:val="en-US"/>
              </w:rPr>
            </w:pPr>
          </w:p>
        </w:tc>
        <w:tc>
          <w:tcPr>
            <w:tcW w:w="3021" w:type="dxa"/>
          </w:tcPr>
          <w:p w14:paraId="3662A166" w14:textId="0E0F1AB4" w:rsidR="005D1189" w:rsidRPr="005D1189" w:rsidRDefault="005D1189">
            <w:pPr>
              <w:rPr>
                <w:sz w:val="24"/>
                <w:szCs w:val="24"/>
                <w:lang w:val="en-US"/>
              </w:rPr>
            </w:pPr>
          </w:p>
        </w:tc>
        <w:tc>
          <w:tcPr>
            <w:tcW w:w="3021" w:type="dxa"/>
          </w:tcPr>
          <w:p w14:paraId="00D68BAB" w14:textId="746062F8" w:rsidR="005D1189" w:rsidRPr="005D1189" w:rsidRDefault="005D1189">
            <w:pPr>
              <w:rPr>
                <w:sz w:val="24"/>
                <w:szCs w:val="24"/>
                <w:lang w:val="en-US"/>
              </w:rPr>
            </w:pPr>
          </w:p>
        </w:tc>
      </w:tr>
      <w:tr w:rsidR="005D1189" w:rsidRPr="005D1189" w14:paraId="205AE08B" w14:textId="77777777" w:rsidTr="005D1189">
        <w:tc>
          <w:tcPr>
            <w:tcW w:w="3020" w:type="dxa"/>
          </w:tcPr>
          <w:p w14:paraId="56E76DD7" w14:textId="77777777" w:rsidR="00E66CA3" w:rsidRDefault="00E66CA3" w:rsidP="00BC721C">
            <w:pPr>
              <w:rPr>
                <w:sz w:val="24"/>
                <w:szCs w:val="24"/>
                <w:lang w:val="en-US"/>
              </w:rPr>
            </w:pPr>
          </w:p>
          <w:p w14:paraId="68FB7A32" w14:textId="33EAEF34" w:rsidR="009E616F" w:rsidRPr="005D1189" w:rsidRDefault="009E616F" w:rsidP="00BC721C">
            <w:pPr>
              <w:rPr>
                <w:sz w:val="24"/>
                <w:szCs w:val="24"/>
                <w:lang w:val="en-US"/>
              </w:rPr>
            </w:pPr>
          </w:p>
        </w:tc>
        <w:tc>
          <w:tcPr>
            <w:tcW w:w="3021" w:type="dxa"/>
          </w:tcPr>
          <w:p w14:paraId="128BB7CB" w14:textId="043DBE83" w:rsidR="005D1189" w:rsidRPr="005D1189" w:rsidRDefault="005D1189">
            <w:pPr>
              <w:rPr>
                <w:sz w:val="24"/>
                <w:szCs w:val="24"/>
                <w:lang w:val="en-US"/>
              </w:rPr>
            </w:pPr>
          </w:p>
        </w:tc>
        <w:tc>
          <w:tcPr>
            <w:tcW w:w="3021" w:type="dxa"/>
          </w:tcPr>
          <w:p w14:paraId="1516A23E" w14:textId="395CDCDA" w:rsidR="005D1189" w:rsidRPr="005D1189" w:rsidRDefault="005D1189">
            <w:pPr>
              <w:rPr>
                <w:sz w:val="24"/>
                <w:szCs w:val="24"/>
                <w:lang w:val="en-US"/>
              </w:rPr>
            </w:pPr>
          </w:p>
        </w:tc>
      </w:tr>
      <w:tr w:rsidR="005D1189" w:rsidRPr="005D1189" w14:paraId="0B068EC4" w14:textId="77777777" w:rsidTr="005D1189">
        <w:tc>
          <w:tcPr>
            <w:tcW w:w="3020" w:type="dxa"/>
          </w:tcPr>
          <w:p w14:paraId="7D845152" w14:textId="6F296177" w:rsidR="005D1189" w:rsidRPr="005D1189" w:rsidRDefault="005D1189">
            <w:pPr>
              <w:rPr>
                <w:sz w:val="24"/>
                <w:szCs w:val="24"/>
                <w:lang w:val="en-US"/>
              </w:rPr>
            </w:pPr>
          </w:p>
          <w:p w14:paraId="5964FAED" w14:textId="354AAC39" w:rsidR="005D1189" w:rsidRPr="005D1189" w:rsidRDefault="005D1189">
            <w:pPr>
              <w:rPr>
                <w:sz w:val="24"/>
                <w:szCs w:val="24"/>
                <w:lang w:val="en-US"/>
              </w:rPr>
            </w:pPr>
          </w:p>
        </w:tc>
        <w:tc>
          <w:tcPr>
            <w:tcW w:w="3021" w:type="dxa"/>
          </w:tcPr>
          <w:p w14:paraId="11FB4C6A" w14:textId="77777777" w:rsidR="005D1189" w:rsidRPr="005D1189" w:rsidRDefault="005D1189">
            <w:pPr>
              <w:rPr>
                <w:sz w:val="24"/>
                <w:szCs w:val="24"/>
                <w:lang w:val="en-US"/>
              </w:rPr>
            </w:pPr>
          </w:p>
        </w:tc>
        <w:tc>
          <w:tcPr>
            <w:tcW w:w="3021" w:type="dxa"/>
          </w:tcPr>
          <w:p w14:paraId="70AF2AB6" w14:textId="77777777" w:rsidR="005D1189" w:rsidRPr="005D1189" w:rsidRDefault="005D1189">
            <w:pPr>
              <w:rPr>
                <w:sz w:val="24"/>
                <w:szCs w:val="24"/>
                <w:lang w:val="en-US"/>
              </w:rPr>
            </w:pPr>
          </w:p>
        </w:tc>
      </w:tr>
    </w:tbl>
    <w:p w14:paraId="2B6B3AD2" w14:textId="77777777" w:rsidR="00B5436D" w:rsidRPr="005D1189" w:rsidRDefault="00B5436D">
      <w:pPr>
        <w:rPr>
          <w:sz w:val="24"/>
          <w:szCs w:val="24"/>
          <w:lang w:val="en-US"/>
        </w:rPr>
      </w:pPr>
    </w:p>
    <w:p w14:paraId="1354BA71" w14:textId="77777777" w:rsidR="00B5436D" w:rsidRPr="005D1189" w:rsidRDefault="00B5436D">
      <w:pPr>
        <w:rPr>
          <w:sz w:val="24"/>
          <w:szCs w:val="24"/>
          <w:lang w:val="en-US"/>
        </w:rPr>
      </w:pPr>
    </w:p>
    <w:p w14:paraId="5FD6A207" w14:textId="77777777" w:rsidR="00B5436D" w:rsidRPr="005D1189" w:rsidRDefault="00B5436D">
      <w:pPr>
        <w:rPr>
          <w:sz w:val="24"/>
          <w:szCs w:val="24"/>
          <w:lang w:val="en-US"/>
        </w:rPr>
      </w:pPr>
    </w:p>
    <w:p w14:paraId="139ED370" w14:textId="77777777" w:rsidR="00B5436D" w:rsidRPr="005D1189" w:rsidRDefault="00B5436D">
      <w:pPr>
        <w:rPr>
          <w:sz w:val="24"/>
          <w:szCs w:val="24"/>
          <w:lang w:val="en-US"/>
        </w:rPr>
      </w:pPr>
    </w:p>
    <w:p w14:paraId="6E831335" w14:textId="77777777" w:rsidR="00B5436D" w:rsidRPr="005D1189" w:rsidRDefault="00B5436D">
      <w:pPr>
        <w:rPr>
          <w:sz w:val="24"/>
          <w:szCs w:val="24"/>
          <w:lang w:val="en-US"/>
        </w:rPr>
      </w:pPr>
    </w:p>
    <w:p w14:paraId="4359FEDF" w14:textId="77777777" w:rsidR="00B5436D" w:rsidRPr="005D1189" w:rsidRDefault="00B5436D">
      <w:pPr>
        <w:rPr>
          <w:sz w:val="24"/>
          <w:szCs w:val="24"/>
          <w:lang w:val="en-US"/>
        </w:rPr>
      </w:pPr>
    </w:p>
    <w:p w14:paraId="2BF24E00" w14:textId="77777777" w:rsidR="00B5436D" w:rsidRPr="005D1189" w:rsidRDefault="00B5436D">
      <w:pPr>
        <w:rPr>
          <w:sz w:val="24"/>
          <w:szCs w:val="24"/>
          <w:lang w:val="en-US"/>
        </w:rPr>
      </w:pPr>
    </w:p>
    <w:p w14:paraId="6B597A01" w14:textId="77777777" w:rsidR="00B5436D" w:rsidRPr="005D1189" w:rsidRDefault="00B5436D">
      <w:pPr>
        <w:rPr>
          <w:sz w:val="24"/>
          <w:szCs w:val="24"/>
          <w:lang w:val="en-US"/>
        </w:rPr>
      </w:pPr>
    </w:p>
    <w:p w14:paraId="3CA7550D" w14:textId="77777777" w:rsidR="00B5436D" w:rsidRPr="005D1189" w:rsidRDefault="00B5436D">
      <w:pPr>
        <w:rPr>
          <w:sz w:val="24"/>
          <w:szCs w:val="24"/>
          <w:lang w:val="en-US"/>
        </w:rPr>
      </w:pPr>
    </w:p>
    <w:p w14:paraId="33667C15" w14:textId="77777777" w:rsidR="00B5436D" w:rsidRPr="005D1189" w:rsidRDefault="00B5436D">
      <w:pPr>
        <w:rPr>
          <w:sz w:val="24"/>
          <w:szCs w:val="24"/>
          <w:lang w:val="en-US"/>
        </w:rPr>
      </w:pPr>
    </w:p>
    <w:p w14:paraId="59B781A9" w14:textId="77777777" w:rsidR="00B5436D" w:rsidRPr="005D1189" w:rsidRDefault="00B5436D">
      <w:pPr>
        <w:rPr>
          <w:sz w:val="24"/>
          <w:szCs w:val="24"/>
          <w:lang w:val="en-US"/>
        </w:rPr>
      </w:pPr>
    </w:p>
    <w:p w14:paraId="4DFBE592" w14:textId="77777777" w:rsidR="00B5436D" w:rsidRPr="005D1189" w:rsidRDefault="00B5436D">
      <w:pPr>
        <w:rPr>
          <w:sz w:val="24"/>
          <w:szCs w:val="24"/>
          <w:lang w:val="en-US"/>
        </w:rPr>
      </w:pPr>
    </w:p>
    <w:p w14:paraId="2CE0E12B" w14:textId="77777777" w:rsidR="00B5436D" w:rsidRPr="005D1189" w:rsidRDefault="00B5436D">
      <w:pPr>
        <w:rPr>
          <w:sz w:val="24"/>
          <w:szCs w:val="24"/>
          <w:lang w:val="en-US"/>
        </w:rPr>
      </w:pPr>
    </w:p>
    <w:p w14:paraId="6FC82A59" w14:textId="77777777" w:rsidR="00B5436D" w:rsidRPr="005D1189" w:rsidRDefault="00B5436D">
      <w:pPr>
        <w:rPr>
          <w:sz w:val="24"/>
          <w:szCs w:val="24"/>
          <w:lang w:val="en-US"/>
        </w:rPr>
      </w:pPr>
    </w:p>
    <w:p w14:paraId="3AB63324" w14:textId="77777777" w:rsidR="00B5436D" w:rsidRPr="005D1189" w:rsidRDefault="00B5436D">
      <w:pPr>
        <w:rPr>
          <w:sz w:val="24"/>
          <w:szCs w:val="24"/>
          <w:lang w:val="en-US"/>
        </w:rPr>
      </w:pPr>
    </w:p>
    <w:p w14:paraId="504F1351" w14:textId="77777777" w:rsidR="00B5436D" w:rsidRPr="005D1189" w:rsidRDefault="00B5436D">
      <w:pPr>
        <w:rPr>
          <w:sz w:val="24"/>
          <w:szCs w:val="24"/>
          <w:lang w:val="en-US"/>
        </w:rPr>
      </w:pPr>
    </w:p>
    <w:p w14:paraId="472BBB7A" w14:textId="77777777" w:rsidR="00B5436D" w:rsidRPr="005D1189" w:rsidRDefault="00B5436D">
      <w:pPr>
        <w:rPr>
          <w:sz w:val="24"/>
          <w:szCs w:val="24"/>
          <w:lang w:val="en-US"/>
        </w:rPr>
      </w:pPr>
    </w:p>
    <w:p w14:paraId="41C7FB1B" w14:textId="77777777" w:rsidR="00B5436D" w:rsidRPr="005D1189" w:rsidRDefault="00B5436D">
      <w:pPr>
        <w:rPr>
          <w:sz w:val="24"/>
          <w:szCs w:val="24"/>
          <w:lang w:val="en-US"/>
        </w:rPr>
      </w:pPr>
    </w:p>
    <w:p w14:paraId="7EF3947E" w14:textId="77777777" w:rsidR="00B5436D" w:rsidRPr="005D1189" w:rsidRDefault="00B5436D">
      <w:pPr>
        <w:rPr>
          <w:sz w:val="24"/>
          <w:szCs w:val="24"/>
          <w:lang w:val="en-US"/>
        </w:rPr>
      </w:pPr>
    </w:p>
    <w:p w14:paraId="20A46311" w14:textId="77777777" w:rsidR="00B5436D" w:rsidRPr="005D1189" w:rsidRDefault="00B5436D">
      <w:pPr>
        <w:rPr>
          <w:sz w:val="24"/>
          <w:szCs w:val="24"/>
          <w:lang w:val="en-US"/>
        </w:rPr>
      </w:pPr>
    </w:p>
    <w:p w14:paraId="10F2B6A8" w14:textId="77777777" w:rsidR="00B5436D" w:rsidRPr="005D1189" w:rsidRDefault="00B5436D">
      <w:pPr>
        <w:rPr>
          <w:sz w:val="24"/>
          <w:szCs w:val="24"/>
          <w:lang w:val="en-US"/>
        </w:rPr>
      </w:pPr>
    </w:p>
    <w:p w14:paraId="63EB868A" w14:textId="77777777" w:rsidR="00B5436D" w:rsidRPr="005D1189" w:rsidRDefault="00B5436D">
      <w:pPr>
        <w:rPr>
          <w:sz w:val="24"/>
          <w:szCs w:val="24"/>
          <w:lang w:val="en-US"/>
        </w:rPr>
      </w:pPr>
    </w:p>
    <w:p w14:paraId="411639B0" w14:textId="77777777" w:rsidR="00B5436D" w:rsidRPr="005D1189" w:rsidRDefault="00B5436D">
      <w:pPr>
        <w:rPr>
          <w:sz w:val="24"/>
          <w:szCs w:val="24"/>
          <w:lang w:val="en-US"/>
        </w:rPr>
      </w:pPr>
    </w:p>
    <w:p w14:paraId="553FB044" w14:textId="77777777" w:rsidR="00B5436D" w:rsidRPr="005D1189" w:rsidRDefault="00B5436D">
      <w:pPr>
        <w:rPr>
          <w:sz w:val="24"/>
          <w:szCs w:val="24"/>
          <w:lang w:val="en-US"/>
        </w:rPr>
      </w:pPr>
    </w:p>
    <w:p w14:paraId="344C2736" w14:textId="362306A1" w:rsidR="00C42603" w:rsidRDefault="000453D7">
      <w:r w:rsidRPr="00C42603">
        <w:rPr>
          <w:sz w:val="24"/>
          <w:szCs w:val="24"/>
        </w:rPr>
        <w:t>Den historiske bakgrunnen for bruken av avlytting i narkotikasaker var at man anså slike saker som vanskelige å etterforske, fordi gjerningspersonene ofte skjuler sine sp</w:t>
      </w:r>
      <w:r>
        <w:rPr>
          <w:sz w:val="24"/>
          <w:szCs w:val="24"/>
        </w:rPr>
        <w:t>o</w:t>
      </w:r>
      <w:r w:rsidRPr="00C42603">
        <w:rPr>
          <w:sz w:val="24"/>
          <w:szCs w:val="24"/>
        </w:rPr>
        <w:t>r, og fordi lovbruddene sjelden anmeldes til politiet.</w:t>
      </w:r>
      <w:r w:rsidR="00B5436D">
        <w:rPr>
          <w:rStyle w:val="Fotnotereferanse"/>
          <w:sz w:val="24"/>
          <w:szCs w:val="24"/>
        </w:rPr>
        <w:footnoteReference w:id="1"/>
      </w:r>
      <w:r w:rsidR="00C42603">
        <w:br w:type="page"/>
      </w:r>
    </w:p>
    <w:p w14:paraId="0B38057C" w14:textId="77777777" w:rsidR="00C42603" w:rsidRDefault="00C42603"/>
    <w:p w14:paraId="02B7FA61" w14:textId="77777777" w:rsidR="00C42603" w:rsidRDefault="00C42603"/>
    <w:p w14:paraId="78AA2ECB" w14:textId="77777777" w:rsidR="00C42603" w:rsidRDefault="00C42603"/>
    <w:p w14:paraId="1DCC6BDB" w14:textId="77777777" w:rsidR="00C42603" w:rsidRDefault="00C42603"/>
    <w:p w14:paraId="616A23BA" w14:textId="77777777" w:rsidR="00C42603" w:rsidRDefault="00C42603"/>
    <w:p w14:paraId="7953A045" w14:textId="77777777" w:rsidR="00C42603" w:rsidRDefault="00C42603"/>
    <w:p w14:paraId="496F81F3" w14:textId="77777777" w:rsidR="00C42603" w:rsidRDefault="00C42603"/>
    <w:p w14:paraId="0459FEC6" w14:textId="77777777" w:rsidR="00C42603" w:rsidRDefault="00C42603"/>
    <w:p w14:paraId="225EA638" w14:textId="77777777" w:rsidR="00C42603" w:rsidRDefault="00C42603"/>
    <w:p w14:paraId="4EF4E339" w14:textId="77777777" w:rsidR="00C42603" w:rsidRDefault="00C42603"/>
    <w:p w14:paraId="43D35018" w14:textId="77777777" w:rsidR="00C42603" w:rsidRDefault="00C42603"/>
    <w:p w14:paraId="54661518" w14:textId="77777777" w:rsidR="00C42603" w:rsidRDefault="00C42603"/>
    <w:p w14:paraId="2EFF777E" w14:textId="77777777" w:rsidR="00C42603" w:rsidRDefault="00C42603"/>
    <w:p w14:paraId="7289DCFC" w14:textId="77777777" w:rsidR="00C42603" w:rsidRDefault="00C42603"/>
    <w:p w14:paraId="5DF9F8B9" w14:textId="77777777" w:rsidR="00C42603" w:rsidRDefault="00C42603"/>
    <w:p w14:paraId="5BE59DEF" w14:textId="77777777" w:rsidR="00C42603" w:rsidRDefault="00C42603"/>
    <w:p w14:paraId="0882C16B" w14:textId="19CA507F" w:rsidR="00C42603" w:rsidRDefault="00D636B5">
      <w:pPr>
        <w:rPr>
          <w:sz w:val="24"/>
          <w:szCs w:val="24"/>
        </w:rPr>
      </w:pPr>
      <w:r>
        <w:rPr>
          <w:sz w:val="24"/>
          <w:szCs w:val="24"/>
        </w:rPr>
        <w:t>«</w:t>
      </w:r>
      <w:r w:rsidRPr="00D636B5">
        <w:rPr>
          <w:sz w:val="24"/>
          <w:szCs w:val="24"/>
        </w:rPr>
        <w:t>Med bot eller fengsel inntil 2 år straffes den som ulovlig tilvirker, innfører, utfører, erverver, oppbevarer, sender eller overdrar stoff som etter regler med hjemmel i legemiddelloven § 22 er å anse som narkotika</w:t>
      </w:r>
      <w:r>
        <w:rPr>
          <w:sz w:val="24"/>
          <w:szCs w:val="24"/>
        </w:rPr>
        <w:t>.»</w:t>
      </w:r>
    </w:p>
    <w:p w14:paraId="7CBFC4E1" w14:textId="77777777" w:rsidR="00D636B5" w:rsidRDefault="00D636B5">
      <w:pPr>
        <w:rPr>
          <w:sz w:val="24"/>
          <w:szCs w:val="24"/>
        </w:rPr>
      </w:pPr>
    </w:p>
    <w:p w14:paraId="346FD10A" w14:textId="017EE910" w:rsidR="00D636B5" w:rsidRPr="00D636B5" w:rsidRDefault="00D636B5">
      <w:pPr>
        <w:rPr>
          <w:sz w:val="24"/>
          <w:szCs w:val="24"/>
        </w:rPr>
      </w:pPr>
      <w:r>
        <w:rPr>
          <w:sz w:val="24"/>
          <w:szCs w:val="24"/>
        </w:rPr>
        <w:t xml:space="preserve">Eksempel på direkte sitat, straffeloven § 231 første ledd. </w:t>
      </w:r>
    </w:p>
    <w:p w14:paraId="702E4AC4" w14:textId="77777777" w:rsidR="00C42603" w:rsidRDefault="00C42603"/>
    <w:p w14:paraId="39AC2F14" w14:textId="39D4F7B5" w:rsidR="00C42603" w:rsidRDefault="00D636B5">
      <w:pPr>
        <w:rPr>
          <w:sz w:val="24"/>
          <w:szCs w:val="24"/>
        </w:rPr>
      </w:pPr>
      <w:r w:rsidRPr="00D636B5">
        <w:rPr>
          <w:sz w:val="24"/>
          <w:szCs w:val="24"/>
        </w:rPr>
        <w:t>Straffeloven § 231, som er inntatt i lovens kapittel om vern av folkehelsen og det ytre miljø, forbyr tilvirkning, innførsel, utførsel, erverv, oppbevaring, sending og overdragelse av narkotika.</w:t>
      </w:r>
    </w:p>
    <w:p w14:paraId="2B4808E5" w14:textId="77777777" w:rsidR="00D636B5" w:rsidRDefault="00D636B5">
      <w:pPr>
        <w:rPr>
          <w:sz w:val="24"/>
          <w:szCs w:val="24"/>
        </w:rPr>
      </w:pPr>
    </w:p>
    <w:p w14:paraId="3F682619" w14:textId="63F0E32C" w:rsidR="00D636B5" w:rsidRPr="00D636B5" w:rsidRDefault="00D636B5">
      <w:pPr>
        <w:rPr>
          <w:sz w:val="24"/>
          <w:szCs w:val="24"/>
        </w:rPr>
      </w:pPr>
      <w:r>
        <w:rPr>
          <w:sz w:val="24"/>
          <w:szCs w:val="24"/>
        </w:rPr>
        <w:t xml:space="preserve">Eksempel på indirekte sitat, hentet fra NOU 2019: 26. </w:t>
      </w:r>
    </w:p>
    <w:p w14:paraId="423A35FD" w14:textId="77777777" w:rsidR="00C42603" w:rsidRDefault="00C42603"/>
    <w:p w14:paraId="28E6CC73" w14:textId="77777777" w:rsidR="001B7FB3" w:rsidRDefault="001B7FB3">
      <w:pPr>
        <w:rPr>
          <w:sz w:val="24"/>
          <w:szCs w:val="24"/>
        </w:rPr>
      </w:pPr>
      <w:r>
        <w:rPr>
          <w:sz w:val="24"/>
          <w:szCs w:val="24"/>
        </w:rPr>
        <w:br w:type="page"/>
      </w:r>
    </w:p>
    <w:p w14:paraId="09E2659B" w14:textId="484F651C" w:rsidR="00C42603" w:rsidRPr="00685597" w:rsidRDefault="00685597">
      <w:pPr>
        <w:rPr>
          <w:sz w:val="24"/>
          <w:szCs w:val="24"/>
        </w:rPr>
      </w:pPr>
      <w:r w:rsidRPr="00685597">
        <w:rPr>
          <w:sz w:val="24"/>
          <w:szCs w:val="24"/>
        </w:rPr>
        <w:lastRenderedPageBreak/>
        <w:t xml:space="preserve">Uttrykket «husransakelse» i Grunnloven § 102 anses ikke bare å omfatte ransaking etter bestemmelsene i straffeprosessloven kapittel 15, og kan omfatte andre former for undersøkelser ved tvang av en persons bolig. Basert på Høyesteretts avgjørelse i </w:t>
      </w:r>
      <w:proofErr w:type="spellStart"/>
      <w:r w:rsidRPr="00685597">
        <w:rPr>
          <w:sz w:val="24"/>
          <w:szCs w:val="24"/>
        </w:rPr>
        <w:t>Rt</w:t>
      </w:r>
      <w:proofErr w:type="spellEnd"/>
      <w:r w:rsidRPr="00685597">
        <w:rPr>
          <w:sz w:val="24"/>
          <w:szCs w:val="24"/>
        </w:rPr>
        <w:t>. 2004 s. 1723 avsnitt 45 må det legges til grunn at «en fullstendig undersøkelse – om nødvendig i skuffer og skap og fra kjeller til loft – i et privat hjem» vil være i kjerneområdet for bestemmelsen.</w:t>
      </w:r>
    </w:p>
    <w:p w14:paraId="0F9B6C7A" w14:textId="77777777" w:rsidR="00C42603" w:rsidRDefault="00C42603"/>
    <w:p w14:paraId="25551D8C" w14:textId="77777777" w:rsidR="00C42603" w:rsidRDefault="00C42603"/>
    <w:p w14:paraId="1D7060B5" w14:textId="77777777" w:rsidR="001B7FB3" w:rsidRDefault="001B7FB3">
      <w:pPr>
        <w:rPr>
          <w:sz w:val="24"/>
          <w:szCs w:val="24"/>
        </w:rPr>
      </w:pPr>
    </w:p>
    <w:p w14:paraId="1A0E212A" w14:textId="77777777" w:rsidR="001B7FB3" w:rsidRDefault="001B7FB3">
      <w:pPr>
        <w:rPr>
          <w:sz w:val="24"/>
          <w:szCs w:val="24"/>
        </w:rPr>
      </w:pPr>
    </w:p>
    <w:p w14:paraId="45326D3A" w14:textId="77777777" w:rsidR="001B7FB3" w:rsidRDefault="001B7FB3">
      <w:pPr>
        <w:rPr>
          <w:sz w:val="24"/>
          <w:szCs w:val="24"/>
        </w:rPr>
      </w:pPr>
    </w:p>
    <w:p w14:paraId="419736B2" w14:textId="2B1AFB96" w:rsidR="00C42603" w:rsidRPr="00C42603" w:rsidRDefault="00C42603">
      <w:pPr>
        <w:rPr>
          <w:sz w:val="24"/>
          <w:szCs w:val="24"/>
        </w:rPr>
      </w:pPr>
      <w:r w:rsidRPr="00C42603">
        <w:rPr>
          <w:sz w:val="24"/>
          <w:szCs w:val="24"/>
        </w:rPr>
        <w:t xml:space="preserve">I Høyesteretts kjennelse publisert i </w:t>
      </w:r>
      <w:proofErr w:type="spellStart"/>
      <w:r w:rsidRPr="00C42603">
        <w:rPr>
          <w:sz w:val="24"/>
          <w:szCs w:val="24"/>
        </w:rPr>
        <w:t>Rt</w:t>
      </w:r>
      <w:proofErr w:type="spellEnd"/>
      <w:r w:rsidRPr="00C42603">
        <w:rPr>
          <w:sz w:val="24"/>
          <w:szCs w:val="24"/>
        </w:rPr>
        <w:t>. 1967 s. 612, ble det avgjort under dissens at lov 4. desember 1992 nr. 132 om legemidler mv. ga tilstrekkelig hjemmel til forskriftens straffebud mot bruk, selv om bruk ikke var nevnt i hjemmelsloven. Bestemmelsene ga ikke grunnlag for rettsvillfarelse som utelukket straffeskyld</w:t>
      </w:r>
    </w:p>
    <w:p w14:paraId="433397D2" w14:textId="77777777" w:rsidR="00C42603" w:rsidRDefault="00C42603"/>
    <w:p w14:paraId="0FCA4E62" w14:textId="77777777" w:rsidR="00C42603" w:rsidRDefault="00C42603"/>
    <w:p w14:paraId="766FF976" w14:textId="77777777" w:rsidR="00C42603" w:rsidRDefault="00C42603"/>
    <w:p w14:paraId="63E76BAC" w14:textId="3CA76523" w:rsidR="005D6475" w:rsidRPr="00C42603" w:rsidRDefault="00C42603">
      <w:pPr>
        <w:rPr>
          <w:sz w:val="24"/>
          <w:szCs w:val="24"/>
        </w:rPr>
      </w:pPr>
      <w:r w:rsidRPr="00C42603">
        <w:rPr>
          <w:sz w:val="24"/>
          <w:szCs w:val="24"/>
        </w:rPr>
        <w:t>Den historiske bakgrunnen for bruken av avlytting i narkotikasaker var at man anså slike saker som vanskelige å etterforske, fordi gjerningspersonene ofte skjuler sine sp</w:t>
      </w:r>
      <w:r>
        <w:rPr>
          <w:sz w:val="24"/>
          <w:szCs w:val="24"/>
        </w:rPr>
        <w:t>o</w:t>
      </w:r>
      <w:r w:rsidRPr="00C42603">
        <w:rPr>
          <w:sz w:val="24"/>
          <w:szCs w:val="24"/>
        </w:rPr>
        <w:t>r, og fordi lovbruddene sjelden anmeldes til politiet.</w:t>
      </w:r>
      <w:r w:rsidRPr="00C42603">
        <w:rPr>
          <w:rStyle w:val="Fotnotereferanse"/>
          <w:sz w:val="24"/>
          <w:szCs w:val="24"/>
        </w:rPr>
        <w:footnoteReference w:id="2"/>
      </w:r>
    </w:p>
    <w:sectPr w:rsidR="005D6475" w:rsidRPr="00C4260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D4B457B" w14:textId="77777777" w:rsidR="00C42603" w:rsidRDefault="00C42603" w:rsidP="00C42603">
      <w:pPr>
        <w:spacing w:after="0" w:line="240" w:lineRule="auto"/>
      </w:pPr>
      <w:r>
        <w:separator/>
      </w:r>
    </w:p>
  </w:endnote>
  <w:endnote w:type="continuationSeparator" w:id="0">
    <w:p w14:paraId="226BD965" w14:textId="77777777" w:rsidR="00C42603" w:rsidRDefault="00C42603" w:rsidP="00C426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1E0F87B" w14:textId="77777777" w:rsidR="00C42603" w:rsidRDefault="00C42603" w:rsidP="00C42603">
      <w:pPr>
        <w:spacing w:after="0" w:line="240" w:lineRule="auto"/>
      </w:pPr>
      <w:r>
        <w:separator/>
      </w:r>
    </w:p>
  </w:footnote>
  <w:footnote w:type="continuationSeparator" w:id="0">
    <w:p w14:paraId="640BA830" w14:textId="77777777" w:rsidR="00C42603" w:rsidRDefault="00C42603" w:rsidP="00C42603">
      <w:pPr>
        <w:spacing w:after="0" w:line="240" w:lineRule="auto"/>
      </w:pPr>
      <w:r>
        <w:continuationSeparator/>
      </w:r>
    </w:p>
  </w:footnote>
  <w:footnote w:id="1">
    <w:p w14:paraId="78C216CA" w14:textId="7395D83C" w:rsidR="00B5436D" w:rsidRDefault="00B5436D">
      <w:pPr>
        <w:pStyle w:val="Fotnotetekst"/>
      </w:pPr>
      <w:r>
        <w:rPr>
          <w:rStyle w:val="Fotnotereferanse"/>
        </w:rPr>
        <w:footnoteRef/>
      </w:r>
      <w:r>
        <w:t xml:space="preserve"> Andenæs (2009) s. 328</w:t>
      </w:r>
    </w:p>
    <w:p w14:paraId="655D8442" w14:textId="77777777" w:rsidR="00B5436D" w:rsidRDefault="00B5436D">
      <w:pPr>
        <w:pStyle w:val="Fotnotetekst"/>
      </w:pPr>
    </w:p>
  </w:footnote>
  <w:footnote w:id="2">
    <w:p w14:paraId="74222A85" w14:textId="1AC052C0" w:rsidR="00C42603" w:rsidRDefault="00C42603">
      <w:pPr>
        <w:pStyle w:val="Fotnotetekst"/>
      </w:pPr>
      <w:r>
        <w:rPr>
          <w:rStyle w:val="Fotnotereferanse"/>
        </w:rPr>
        <w:footnoteRef/>
      </w:r>
      <w:r>
        <w:t xml:space="preserve"> Andenæs (2009) s. 328</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5"/>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2603"/>
    <w:rsid w:val="000453D7"/>
    <w:rsid w:val="00076FBA"/>
    <w:rsid w:val="001B7FB3"/>
    <w:rsid w:val="00597F69"/>
    <w:rsid w:val="005D1189"/>
    <w:rsid w:val="00685597"/>
    <w:rsid w:val="00874411"/>
    <w:rsid w:val="009E616F"/>
    <w:rsid w:val="00B5436D"/>
    <w:rsid w:val="00BC721C"/>
    <w:rsid w:val="00C42603"/>
    <w:rsid w:val="00CA2723"/>
    <w:rsid w:val="00D636B5"/>
    <w:rsid w:val="00E66CA3"/>
    <w:rsid w:val="00FE1910"/>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BE005A"/>
  <w15:chartTrackingRefBased/>
  <w15:docId w15:val="{67A14006-68EC-4DED-8AD1-5308C118A0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Fotnotetekst">
    <w:name w:val="footnote text"/>
    <w:basedOn w:val="Normal"/>
    <w:link w:val="FotnotetekstTegn"/>
    <w:uiPriority w:val="99"/>
    <w:semiHidden/>
    <w:unhideWhenUsed/>
    <w:rsid w:val="00C42603"/>
    <w:pPr>
      <w:spacing w:after="0" w:line="240" w:lineRule="auto"/>
    </w:pPr>
    <w:rPr>
      <w:sz w:val="20"/>
      <w:szCs w:val="20"/>
    </w:rPr>
  </w:style>
  <w:style w:type="character" w:customStyle="1" w:styleId="FotnotetekstTegn">
    <w:name w:val="Fotnotetekst Tegn"/>
    <w:basedOn w:val="Standardskriftforavsnitt"/>
    <w:link w:val="Fotnotetekst"/>
    <w:uiPriority w:val="99"/>
    <w:semiHidden/>
    <w:rsid w:val="00C42603"/>
    <w:rPr>
      <w:sz w:val="20"/>
      <w:szCs w:val="20"/>
    </w:rPr>
  </w:style>
  <w:style w:type="character" w:styleId="Fotnotereferanse">
    <w:name w:val="footnote reference"/>
    <w:basedOn w:val="Standardskriftforavsnitt"/>
    <w:uiPriority w:val="99"/>
    <w:semiHidden/>
    <w:unhideWhenUsed/>
    <w:rsid w:val="00C42603"/>
    <w:rPr>
      <w:vertAlign w:val="superscript"/>
    </w:rPr>
  </w:style>
  <w:style w:type="paragraph" w:styleId="Sluttnotetekst">
    <w:name w:val="endnote text"/>
    <w:basedOn w:val="Normal"/>
    <w:link w:val="SluttnotetekstTegn"/>
    <w:uiPriority w:val="99"/>
    <w:semiHidden/>
    <w:unhideWhenUsed/>
    <w:rsid w:val="00B5436D"/>
    <w:pPr>
      <w:spacing w:after="0" w:line="240" w:lineRule="auto"/>
    </w:pPr>
    <w:rPr>
      <w:sz w:val="20"/>
      <w:szCs w:val="20"/>
    </w:rPr>
  </w:style>
  <w:style w:type="character" w:customStyle="1" w:styleId="SluttnotetekstTegn">
    <w:name w:val="Sluttnotetekst Tegn"/>
    <w:basedOn w:val="Standardskriftforavsnitt"/>
    <w:link w:val="Sluttnotetekst"/>
    <w:uiPriority w:val="99"/>
    <w:semiHidden/>
    <w:rsid w:val="00B5436D"/>
    <w:rPr>
      <w:sz w:val="20"/>
      <w:szCs w:val="20"/>
    </w:rPr>
  </w:style>
  <w:style w:type="character" w:styleId="Sluttnotereferanse">
    <w:name w:val="endnote reference"/>
    <w:basedOn w:val="Standardskriftforavsnitt"/>
    <w:uiPriority w:val="99"/>
    <w:semiHidden/>
    <w:unhideWhenUsed/>
    <w:rsid w:val="00B5436D"/>
    <w:rPr>
      <w:vertAlign w:val="superscript"/>
    </w:rPr>
  </w:style>
  <w:style w:type="table" w:styleId="Tabellrutenett">
    <w:name w:val="Table Grid"/>
    <w:basedOn w:val="Vanligtabell"/>
    <w:uiPriority w:val="39"/>
    <w:rsid w:val="005D11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avsnitt">
    <w:name w:val="List Paragraph"/>
    <w:basedOn w:val="Normal"/>
    <w:uiPriority w:val="34"/>
    <w:qFormat/>
    <w:rsid w:val="005D118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AC240F16AD6C79409844EE3FF27FC474" ma:contentTypeVersion="13" ma:contentTypeDescription="Opprett et nytt dokument." ma:contentTypeScope="" ma:versionID="c2b236da3f28ea260bb69d6c3ccb9b27">
  <xsd:schema xmlns:xsd="http://www.w3.org/2001/XMLSchema" xmlns:xs="http://www.w3.org/2001/XMLSchema" xmlns:p="http://schemas.microsoft.com/office/2006/metadata/properties" xmlns:ns2="59adbbc4-8923-4d53-a55d-886b11e84e67" xmlns:ns3="a8d27864-dd44-4edf-a960-ce037c495f65" targetNamespace="http://schemas.microsoft.com/office/2006/metadata/properties" ma:root="true" ma:fieldsID="bc0d313fb3b34b34f1e756a871f9253c" ns2:_="" ns3:_="">
    <xsd:import namespace="59adbbc4-8923-4d53-a55d-886b11e84e67"/>
    <xsd:import namespace="a8d27864-dd44-4edf-a960-ce037c495f6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adbbc4-8923-4d53-a55d-886b11e84e6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8d27864-dd44-4edf-a960-ce037c495f65" elementFormDefault="qualified">
    <xsd:import namespace="http://schemas.microsoft.com/office/2006/documentManagement/types"/>
    <xsd:import namespace="http://schemas.microsoft.com/office/infopath/2007/PartnerControls"/>
    <xsd:element name="SharedWithUsers" ma:index="10"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lingsdetaljer"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6D07A4-6B82-4A8A-AF4A-CA1F418ADF15}">
  <ds:schemaRefs>
    <ds:schemaRef ds:uri="http://schemas.microsoft.com/office/2006/metadata/properties"/>
    <ds:schemaRef ds:uri="59adbbc4-8923-4d53-a55d-886b11e84e67"/>
    <ds:schemaRef ds:uri="http://purl.org/dc/dcmitype/"/>
    <ds:schemaRef ds:uri="http://schemas.microsoft.com/office/2006/documentManagement/types"/>
    <ds:schemaRef ds:uri="http://purl.org/dc/terms/"/>
    <ds:schemaRef ds:uri="a8d27864-dd44-4edf-a960-ce037c495f65"/>
    <ds:schemaRef ds:uri="http://schemas.microsoft.com/office/infopath/2007/PartnerControls"/>
    <ds:schemaRef ds:uri="http://schemas.openxmlformats.org/package/2006/metadata/core-properties"/>
    <ds:schemaRef ds:uri="http://www.w3.org/XML/1998/namespace"/>
    <ds:schemaRef ds:uri="http://purl.org/dc/elements/1.1/"/>
  </ds:schemaRefs>
</ds:datastoreItem>
</file>

<file path=customXml/itemProps2.xml><?xml version="1.0" encoding="utf-8"?>
<ds:datastoreItem xmlns:ds="http://schemas.openxmlformats.org/officeDocument/2006/customXml" ds:itemID="{49B4CBA2-FB16-468F-AFD5-DD5EE9B42E4A}">
  <ds:schemaRefs>
    <ds:schemaRef ds:uri="http://schemas.microsoft.com/sharepoint/v3/contenttype/forms"/>
  </ds:schemaRefs>
</ds:datastoreItem>
</file>

<file path=customXml/itemProps3.xml><?xml version="1.0" encoding="utf-8"?>
<ds:datastoreItem xmlns:ds="http://schemas.openxmlformats.org/officeDocument/2006/customXml" ds:itemID="{5FB6AFC6-B391-4EFE-917C-78BBC4AF0F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adbbc4-8923-4d53-a55d-886b11e84e67"/>
    <ds:schemaRef ds:uri="a8d27864-dd44-4edf-a960-ce037c495f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437892D-D5DE-44CB-A6A6-F6CB7889FF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309</Words>
  <Characters>1639</Characters>
  <Application>Microsoft Office Word</Application>
  <DocSecurity>0</DocSecurity>
  <Lines>13</Lines>
  <Paragraphs>3</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1945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Lars Andre Flaten</dc:creator>
  <cp:keywords/>
  <dc:description/>
  <cp:lastModifiedBy>Lars Andre Flaten</cp:lastModifiedBy>
  <cp:revision>3</cp:revision>
  <dcterms:created xsi:type="dcterms:W3CDTF">2021-08-20T09:41:00Z</dcterms:created>
  <dcterms:modified xsi:type="dcterms:W3CDTF">2021-08-20T09:42:00Z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0x010100AC240F16AD6C79409844EE3FF27FC474</vt:lpwstr>
  </property>
</Properties>
</file>